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A159" w14:textId="77777777" w:rsidR="00726C6E" w:rsidRDefault="00000000">
      <w:pPr>
        <w:spacing w:before="60" w:after="60" w:line="276" w:lineRule="auto"/>
      </w:pPr>
      <w:r>
        <w:t>Daniel J. Beaman, Director</w:t>
      </w:r>
    </w:p>
    <w:p w14:paraId="25FCA36F" w14:textId="77777777" w:rsidR="00726C6E" w:rsidRDefault="00000000">
      <w:pPr>
        <w:spacing w:before="60" w:after="60" w:line="276" w:lineRule="auto"/>
      </w:pPr>
      <w:r>
        <w:t>Planning and Zoning Department</w:t>
      </w:r>
    </w:p>
    <w:p w14:paraId="68169377" w14:textId="77777777" w:rsidR="00726C6E" w:rsidRDefault="00000000">
      <w:pPr>
        <w:spacing w:before="60" w:after="60" w:line="276" w:lineRule="auto"/>
      </w:pPr>
      <w:r>
        <w:t>Sandoval County</w:t>
      </w:r>
    </w:p>
    <w:p w14:paraId="45243AA2" w14:textId="77777777" w:rsidR="00726C6E" w:rsidRDefault="00000000">
      <w:pPr>
        <w:spacing w:before="60" w:after="60" w:line="276" w:lineRule="auto"/>
      </w:pPr>
      <w:r>
        <w:t>P.O. Box 40, Bernalillo, NM 87004</w:t>
      </w:r>
    </w:p>
    <w:p w14:paraId="19EA431A" w14:textId="77777777" w:rsidR="00726C6E" w:rsidRDefault="00000000">
      <w:pPr>
        <w:spacing w:before="60" w:after="60" w:line="276" w:lineRule="auto"/>
      </w:pPr>
      <w:r>
        <w:t>dbeaman@sandovalcountynm.gov</w:t>
      </w:r>
    </w:p>
    <w:p w14:paraId="4B1D05A6" w14:textId="77777777" w:rsidR="00726C6E" w:rsidRDefault="00726C6E">
      <w:pPr>
        <w:spacing w:before="120"/>
      </w:pPr>
    </w:p>
    <w:p w14:paraId="336E9CE7" w14:textId="77777777" w:rsidR="00726C6E" w:rsidRDefault="00000000">
      <w:pPr>
        <w:spacing w:before="60" w:after="60" w:line="276" w:lineRule="auto"/>
      </w:pPr>
      <w:r>
        <w:rPr>
          <w:b/>
          <w:bCs/>
        </w:rPr>
        <w:t>Re: Formal Public Comment in Opposition</w:t>
      </w:r>
    </w:p>
    <w:p w14:paraId="35861D77" w14:textId="77777777" w:rsidR="00726C6E" w:rsidRDefault="00000000">
      <w:pPr>
        <w:spacing w:before="60" w:after="60" w:line="276" w:lineRule="auto"/>
      </w:pPr>
      <w:r>
        <w:rPr>
          <w:b/>
          <w:bCs/>
        </w:rPr>
        <w:t xml:space="preserve">Case No.: </w:t>
      </w:r>
      <w:r>
        <w:t>CU-26-001</w:t>
      </w:r>
    </w:p>
    <w:p w14:paraId="75252602" w14:textId="77777777" w:rsidR="00726C6E" w:rsidRDefault="00000000">
      <w:pPr>
        <w:spacing w:before="60" w:after="60" w:line="276" w:lineRule="auto"/>
      </w:pPr>
      <w:r>
        <w:rPr>
          <w:b/>
          <w:bCs/>
        </w:rPr>
        <w:t xml:space="preserve">Project: </w:t>
      </w:r>
      <w:r>
        <w:t>NM01-148 SPIKE / ABQ Tierra Madre</w:t>
      </w:r>
    </w:p>
    <w:p w14:paraId="2D301B61" w14:textId="77777777" w:rsidR="00726C6E" w:rsidRDefault="00000000">
      <w:pPr>
        <w:spacing w:before="60" w:after="60" w:line="276" w:lineRule="auto"/>
      </w:pPr>
      <w:r>
        <w:rPr>
          <w:b/>
          <w:bCs/>
        </w:rPr>
        <w:t xml:space="preserve">Address: </w:t>
      </w:r>
      <w:r>
        <w:t>221 NM-165 (State Highway 165), Placitas, NM 87043</w:t>
      </w:r>
    </w:p>
    <w:p w14:paraId="29972D6F" w14:textId="77777777" w:rsidR="00726C6E" w:rsidRDefault="00000000">
      <w:pPr>
        <w:spacing w:before="60" w:after="60" w:line="276" w:lineRule="auto"/>
      </w:pPr>
      <w:r>
        <w:rPr>
          <w:b/>
          <w:bCs/>
        </w:rPr>
        <w:t xml:space="preserve">APN: </w:t>
      </w:r>
      <w:r>
        <w:t>102-307-302-8180</w:t>
      </w:r>
    </w:p>
    <w:p w14:paraId="27B6C2F5" w14:textId="77777777" w:rsidR="00726C6E" w:rsidRDefault="00000000">
      <w:pPr>
        <w:spacing w:before="60" w:after="60" w:line="276" w:lineRule="auto"/>
      </w:pPr>
      <w:r>
        <w:rPr>
          <w:b/>
          <w:bCs/>
        </w:rPr>
        <w:t xml:space="preserve">Parcel: </w:t>
      </w:r>
      <w:r>
        <w:t>Placitas Homesteads Lot 5A-1AW</w:t>
      </w:r>
    </w:p>
    <w:p w14:paraId="2961FD5C" w14:textId="77777777" w:rsidR="00726C6E" w:rsidRDefault="00000000">
      <w:pPr>
        <w:spacing w:before="60" w:after="60" w:line="276" w:lineRule="auto"/>
      </w:pPr>
      <w:r>
        <w:rPr>
          <w:b/>
          <w:bCs/>
        </w:rPr>
        <w:t xml:space="preserve">Applicant: </w:t>
      </w:r>
      <w:r>
        <w:t>Scott Quinn / Pinnacle Consulting / Verizon Wireless / Sun State Towers</w:t>
      </w:r>
    </w:p>
    <w:p w14:paraId="2F41696C" w14:textId="1B34E42E" w:rsidR="00726C6E" w:rsidRDefault="00000000">
      <w:pPr>
        <w:spacing w:before="60" w:after="60" w:line="276" w:lineRule="auto"/>
      </w:pPr>
      <w:r>
        <w:rPr>
          <w:b/>
          <w:bCs/>
        </w:rPr>
        <w:t xml:space="preserve">Public Hearing: Tuesday, </w:t>
      </w:r>
      <w:r w:rsidR="00C979B7">
        <w:rPr>
          <w:b/>
          <w:bCs/>
        </w:rPr>
        <w:t>May 19</w:t>
      </w:r>
      <w:r>
        <w:rPr>
          <w:b/>
          <w:bCs/>
        </w:rPr>
        <w:t>, 5:00 PM</w:t>
      </w:r>
    </w:p>
    <w:p w14:paraId="7B761425" w14:textId="77777777" w:rsidR="00726C6E" w:rsidRDefault="00726C6E">
      <w:pPr>
        <w:spacing w:before="120"/>
      </w:pPr>
    </w:p>
    <w:p w14:paraId="7BEFCD51" w14:textId="77777777" w:rsidR="00726C6E" w:rsidRDefault="00000000">
      <w:pPr>
        <w:spacing w:before="60" w:after="60" w:line="276" w:lineRule="auto"/>
      </w:pPr>
      <w:r>
        <w:t>Dear Director Beaman and Members of the Planning and Zoning Commission,</w:t>
      </w:r>
    </w:p>
    <w:p w14:paraId="39A4A2A0" w14:textId="77777777" w:rsidR="00726C6E" w:rsidRDefault="00726C6E">
      <w:pPr>
        <w:spacing w:before="60"/>
      </w:pPr>
    </w:p>
    <w:p w14:paraId="7BFF93E3" w14:textId="1D9D7D3E" w:rsidR="00726C6E" w:rsidRDefault="00000000">
      <w:pPr>
        <w:spacing w:before="60" w:after="60" w:line="276" w:lineRule="auto"/>
      </w:pPr>
      <w:r>
        <w:t xml:space="preserve">I am a property owner and resident of Placitas, New Mexico, writing to formally oppose the Conditional Use Permit application for the proposed 75-foot wireless monopole at 221 NM-165. Please include this letter, in its entirety, in the official written record for the </w:t>
      </w:r>
      <w:r w:rsidR="00C979B7">
        <w:t>May 19</w:t>
      </w:r>
      <w:r>
        <w:t>, 2026 public hearing.</w:t>
      </w:r>
    </w:p>
    <w:p w14:paraId="16D95B69" w14:textId="77777777" w:rsidR="00726C6E" w:rsidRDefault="00000000">
      <w:pPr>
        <w:pBdr>
          <w:bottom w:val="single" w:sz="1" w:space="4" w:color="999999"/>
        </w:pBdr>
        <w:spacing w:before="320" w:after="160" w:line="276" w:lineRule="auto"/>
        <w:jc w:val="center"/>
      </w:pPr>
      <w:r>
        <w:rPr>
          <w:b/>
          <w:bCs/>
        </w:rPr>
        <w:t>GROUND 1: CONFLICT WITH THE ADOPTED PLACITAS AREA PLAN</w:t>
      </w:r>
    </w:p>
    <w:p w14:paraId="2B948D02" w14:textId="77777777" w:rsidR="00726C6E" w:rsidRDefault="00000000">
      <w:pPr>
        <w:spacing w:before="60" w:after="60" w:line="276" w:lineRule="auto"/>
      </w:pPr>
      <w:r>
        <w:t>The Placitas Area Plan — adopted by the Sandoval County Board of Commissioners — is the controlling land-use policy document for this area. The Plan mandates protection of viewsheds and the semi-rural character of the community. It calls for adequate setbacks and building height standards to preserve viewsheds in the West Placitas Residential District. NM-165 serves as the primary gateway corridor into Placitas, and the Plan identifies the visual character of this corridor as a community asset.</w:t>
      </w:r>
    </w:p>
    <w:p w14:paraId="7CF25299" w14:textId="3F504E06" w:rsidR="000123F7" w:rsidRDefault="00000000">
      <w:pPr>
        <w:spacing w:before="60" w:after="60" w:line="276" w:lineRule="auto"/>
      </w:pPr>
      <w:r>
        <w:t>A 75-foot commercial monopole sited directly on this corridor conflicts directly and materially with these adopted goals. The Commission is legally obligated to evaluate this application against the Plan it created and adopted.</w:t>
      </w:r>
    </w:p>
    <w:p w14:paraId="06CE0610" w14:textId="77777777" w:rsidR="000123F7" w:rsidRDefault="000123F7">
      <w:r>
        <w:br w:type="page"/>
      </w:r>
    </w:p>
    <w:p w14:paraId="011FE2E6" w14:textId="77777777" w:rsidR="00726C6E" w:rsidRDefault="00726C6E">
      <w:pPr>
        <w:spacing w:before="60" w:after="60" w:line="276" w:lineRule="auto"/>
      </w:pPr>
    </w:p>
    <w:p w14:paraId="7757C5B8" w14:textId="77777777" w:rsidR="00726C6E" w:rsidRDefault="00000000">
      <w:pPr>
        <w:pBdr>
          <w:bottom w:val="single" w:sz="1" w:space="4" w:color="999999"/>
        </w:pBdr>
        <w:spacing w:before="320" w:after="160" w:line="276" w:lineRule="auto"/>
        <w:jc w:val="center"/>
      </w:pPr>
      <w:r>
        <w:rPr>
          <w:b/>
          <w:bCs/>
        </w:rPr>
        <w:t>GROUND 2: INADEQUATE STEALTH DESIGN — THE SHROUD PARADOX</w:t>
      </w:r>
    </w:p>
    <w:p w14:paraId="7D4913B5" w14:textId="77777777" w:rsidR="00726C6E" w:rsidRDefault="00000000">
      <w:pPr>
        <w:spacing w:before="60" w:after="60" w:line="276" w:lineRule="auto"/>
      </w:pPr>
      <w:r>
        <w:t>The applicant characterizes this installation as “concealed.” The engineering drawings contradict that characterization.</w:t>
      </w:r>
    </w:p>
    <w:p w14:paraId="77860E4C" w14:textId="77777777" w:rsidR="00726C6E" w:rsidRDefault="00000000">
      <w:pPr>
        <w:spacing w:before="60" w:after="60" w:line="276" w:lineRule="auto"/>
      </w:pPr>
      <w:r>
        <w:t>The concealment shroud begins at elevation 55 feet AGL. The lower 55 feet of the structure — nearly three-quarters of the total height — is a bare, unscreened steel monopole. Only the top 20 feet receives the 18-foot-diameter terracotta concealment shroud, painted Sherwin-Williams “Brandywine” SW-7710.</w:t>
      </w:r>
    </w:p>
    <w:p w14:paraId="6CDF6A13" w14:textId="77777777" w:rsidR="00726C6E" w:rsidRDefault="00000000">
      <w:pPr>
        <w:spacing w:before="60" w:after="60" w:line="276" w:lineRule="auto"/>
      </w:pPr>
      <w:r>
        <w:t>In the open high-desert landscape of Placitas, this design creates a paradox: the shroud enlarges rather than conceals the structure. An 18-foot-diameter cylinder perched atop a narrow steel pole produces a shape — a floating barrel — that is alien to the Sandia foothills landscape. There are no adjacent tall structures, dense tree canopies, or urban elements to provide visual context or screening. The result is that the concealment shroud makes the tower more conspicuous, not less.</w:t>
      </w:r>
    </w:p>
    <w:p w14:paraId="51F54D78" w14:textId="77777777" w:rsidR="00726C6E" w:rsidRDefault="00000000">
      <w:pPr>
        <w:spacing w:before="60" w:after="60" w:line="276" w:lineRule="auto"/>
      </w:pPr>
      <w:r>
        <w:t>Moreover, the Brandywine terracotta color does not match the surrounding terrain, which consists of natural tans, browns, and muted desert earth tones. Sandoval County’s own third-party zoning reviewer, Robert Naumann, raised questions about site visibility and the adequacy of the stealth design in his written review comments — concerns that remain unresolved in the application record.</w:t>
      </w:r>
    </w:p>
    <w:p w14:paraId="4AA9C418" w14:textId="77777777" w:rsidR="00726C6E" w:rsidRDefault="00000000">
      <w:pPr>
        <w:pBdr>
          <w:bottom w:val="single" w:sz="1" w:space="4" w:color="999999"/>
        </w:pBdr>
        <w:spacing w:before="320" w:after="160" w:line="276" w:lineRule="auto"/>
        <w:jc w:val="center"/>
      </w:pPr>
      <w:r>
        <w:rPr>
          <w:b/>
          <w:bCs/>
        </w:rPr>
        <w:t>GROUND 3: DOCUMENTED PROPERTY VALUE IMPACT</w:t>
      </w:r>
    </w:p>
    <w:p w14:paraId="6DD49BD7" w14:textId="77777777" w:rsidR="00726C6E" w:rsidRDefault="00000000">
      <w:pPr>
        <w:spacing w:before="60" w:after="60" w:line="276" w:lineRule="auto"/>
      </w:pPr>
      <w:r>
        <w:t>Peer-reviewed academic research establishes that visible wireless towers cause statistically significant reductions in residential property values. The Commission should consider the following evidence:</w:t>
      </w:r>
    </w:p>
    <w:p w14:paraId="106B801E" w14:textId="77777777" w:rsidR="00726C6E" w:rsidRDefault="00000000">
      <w:pPr>
        <w:spacing w:before="60" w:after="60" w:line="276" w:lineRule="auto"/>
      </w:pPr>
      <w:r>
        <w:rPr>
          <w:b/>
          <w:bCs/>
        </w:rPr>
        <w:t>Affuso, Cummings, and Le (2018)</w:t>
      </w:r>
      <w:r>
        <w:t xml:space="preserve">, published in the </w:t>
      </w:r>
      <w:r>
        <w:rPr>
          <w:i/>
          <w:iCs/>
        </w:rPr>
        <w:t>Journal of Real Estate Finance and Economics</w:t>
      </w:r>
      <w:r>
        <w:t xml:space="preserve"> (Vol. 56, pp. 653–676), conducted a spatial econometric analysis of over 5,800 residential transactions. Their findings:</w:t>
      </w:r>
    </w:p>
    <w:p w14:paraId="071EBFDD" w14:textId="77777777" w:rsidR="00726C6E" w:rsidRDefault="00000000">
      <w:pPr>
        <w:spacing w:before="60" w:after="60" w:line="276" w:lineRule="auto"/>
        <w:ind w:left="360" w:hanging="360"/>
      </w:pPr>
      <w:r>
        <w:t>— Properties with a visible tower experienced an average 9.78% decline in sale price.</w:t>
      </w:r>
    </w:p>
    <w:p w14:paraId="41B34745" w14:textId="77777777" w:rsidR="00726C6E" w:rsidRDefault="00000000">
      <w:pPr>
        <w:spacing w:before="60" w:after="60" w:line="276" w:lineRule="auto"/>
        <w:ind w:left="360" w:hanging="360"/>
      </w:pPr>
      <w:r>
        <w:t>— Properties near a tower that was not visible experienced a 2.46% decline.</w:t>
      </w:r>
    </w:p>
    <w:p w14:paraId="15C1EE92" w14:textId="77777777" w:rsidR="00726C6E" w:rsidRDefault="00000000">
      <w:pPr>
        <w:spacing w:before="60" w:after="60" w:line="276" w:lineRule="auto"/>
        <w:ind w:left="360" w:hanging="360"/>
      </w:pPr>
      <w:r>
        <w:t>— The visibility multiplier is approximately 4×, meaning visibility — not mere proximity — is the dominant driver of property value loss.</w:t>
      </w:r>
    </w:p>
    <w:p w14:paraId="4BEA1BF9" w14:textId="77777777" w:rsidR="00726C6E" w:rsidRDefault="00000000">
      <w:pPr>
        <w:spacing w:before="60" w:after="60" w:line="276" w:lineRule="auto"/>
      </w:pPr>
      <w:r>
        <w:rPr>
          <w:b/>
          <w:bCs/>
        </w:rPr>
        <w:t>Rajapaksa, Jayasinghe, Managi, Hettiarachchi, and Brack (2018)</w:t>
      </w:r>
      <w:r>
        <w:t xml:space="preserve">, published in </w:t>
      </w:r>
      <w:r>
        <w:rPr>
          <w:i/>
          <w:iCs/>
        </w:rPr>
        <w:t>Environmental Economics and Policy Studies</w:t>
      </w:r>
      <w:r>
        <w:t xml:space="preserve"> (Vol. 20, pp. 211–224), found impacts up to approximately 15% for properties at close proximity (within 200 meters).</w:t>
      </w:r>
    </w:p>
    <w:p w14:paraId="6F3FFD7D" w14:textId="77777777" w:rsidR="00726C6E" w:rsidRDefault="00000000">
      <w:pPr>
        <w:spacing w:before="60" w:after="60" w:line="276" w:lineRule="auto"/>
      </w:pPr>
      <w:r>
        <w:t>These are not advocacy estimates. They are the product of rigorous, peer-reviewed spatial econometric methodologies published in recognized academic journals.</w:t>
      </w:r>
    </w:p>
    <w:p w14:paraId="04ECA30B" w14:textId="77777777" w:rsidR="00726C6E" w:rsidRDefault="00000000">
      <w:pPr>
        <w:spacing w:before="200" w:after="100" w:line="276" w:lineRule="auto"/>
      </w:pPr>
      <w:r>
        <w:rPr>
          <w:b/>
          <w:bCs/>
          <w:i/>
          <w:iCs/>
        </w:rPr>
        <w:t>Application to Placitas</w:t>
      </w:r>
    </w:p>
    <w:p w14:paraId="05378F94" w14:textId="77777777" w:rsidR="00726C6E" w:rsidRDefault="00000000">
      <w:pPr>
        <w:spacing w:before="60" w:after="60" w:line="276" w:lineRule="auto"/>
      </w:pPr>
      <w:r>
        <w:lastRenderedPageBreak/>
        <w:t>Placitas presents conditions that amplify, rather than attenuate, the impacts documented in the literature. The standard suburban finding that tower impacts diminish beyond approximately 0.72 km (roughly 2,400 feet) was derived from studies conducted in areas with significant vegetation, built structures, and visual clutter. Placitas has none of these attenuating features. High-desert terrain with sparse vegetation, minimal intervening structures, and sightlines exceeding 30 miles means this tower will remain visually prominent at distances far beyond what the suburban literature contemplates.</w:t>
      </w:r>
    </w:p>
    <w:p w14:paraId="3F8BC52E" w14:textId="77777777" w:rsidR="00726C6E" w:rsidRDefault="00000000">
      <w:pPr>
        <w:spacing w:before="60" w:after="60" w:line="276" w:lineRule="auto"/>
      </w:pPr>
      <w:r>
        <w:t>An independent analysis conducted from 19 viewpoints distributed across the Placitas community — using the applicant’s own submitted tower coordinates, base elevation (5,503 ft NAVD88), and 75-foot height — estimates property value impacts for approximately 555 residential properties within the visual impact zone. The analysis employs two independent methodological approaches:</w:t>
      </w:r>
    </w:p>
    <w:p w14:paraId="70185A30" w14:textId="77777777" w:rsidR="00726C6E" w:rsidRDefault="00000000">
      <w:pPr>
        <w:spacing w:before="60" w:after="60" w:line="276" w:lineRule="auto"/>
        <w:ind w:left="360" w:hanging="360"/>
      </w:pPr>
      <w:r>
        <w:t>— A viewpoint-specific model incorporating geometric distance decay, angular tower span, and skyline intrusion factors, calibrated to the Affuso et al. empirical ceiling of 9.78%.</w:t>
      </w:r>
    </w:p>
    <w:p w14:paraId="7148D387" w14:textId="77777777" w:rsidR="00726C6E" w:rsidRDefault="00000000">
      <w:pPr>
        <w:spacing w:before="60" w:after="60" w:line="276" w:lineRule="auto"/>
        <w:ind w:left="360" w:hanging="360"/>
      </w:pPr>
      <w:r>
        <w:t>— A zone-based approach using fixed-distance tiers consistent with Rajapaksa et al.</w:t>
      </w:r>
    </w:p>
    <w:p w14:paraId="11E7D80F" w14:textId="77777777" w:rsidR="00726C6E" w:rsidRDefault="00000000">
      <w:pPr>
        <w:spacing w:before="60" w:after="60" w:line="276" w:lineRule="auto"/>
      </w:pPr>
      <w:r>
        <w:t>Both methods converge on an aggregate community property value impact of approximately $22 million, with methodological agreement within 1.4%. Impact rates across the community range from approximately 1% to 3% for distant properties to 9% or higher for properties in the immediate vicinity. The weighted average impact across all affected properties is approximately 5.5%.</w:t>
      </w:r>
    </w:p>
    <w:p w14:paraId="06586E3A" w14:textId="77777777" w:rsidR="00726C6E" w:rsidRDefault="00000000">
      <w:pPr>
        <w:spacing w:before="60" w:after="60" w:line="276" w:lineRule="auto"/>
      </w:pPr>
      <w:r>
        <w:t>A GIS viewshed analysis independently confirms that the tower top at elevation 5,578 feet will be visible from a substantial majority of residential parcels in the Placitas community.</w:t>
      </w:r>
    </w:p>
    <w:p w14:paraId="09895215" w14:textId="77777777" w:rsidR="00726C6E" w:rsidRDefault="00000000">
      <w:pPr>
        <w:spacing w:before="60" w:after="60" w:line="276" w:lineRule="auto"/>
      </w:pPr>
      <w:r>
        <w:t>The Sandoval County Comprehensive Zoning Ordinance expressly states among its purposes the conservation of property values. Approval of this CUP would undermine that stated purpose.</w:t>
      </w:r>
    </w:p>
    <w:p w14:paraId="741EAD24" w14:textId="77777777" w:rsidR="00726C6E" w:rsidRDefault="00000000">
      <w:pPr>
        <w:pBdr>
          <w:bottom w:val="single" w:sz="1" w:space="4" w:color="999999"/>
        </w:pBdr>
        <w:spacing w:before="320" w:after="160" w:line="276" w:lineRule="auto"/>
        <w:jc w:val="center"/>
      </w:pPr>
      <w:r>
        <w:rPr>
          <w:b/>
          <w:bCs/>
        </w:rPr>
        <w:t>GROUND 4: APPLICATION DEFICIENCIES</w:t>
      </w:r>
    </w:p>
    <w:p w14:paraId="57E54326" w14:textId="77777777" w:rsidR="00726C6E" w:rsidRDefault="00000000">
      <w:pPr>
        <w:spacing w:before="60" w:after="60" w:line="276" w:lineRule="auto"/>
      </w:pPr>
      <w:r>
        <w:t>The application record contains multiple substantive deficiencies that the Commission should weigh:</w:t>
      </w:r>
    </w:p>
    <w:p w14:paraId="114DF96D" w14:textId="77777777" w:rsidR="00726C6E" w:rsidRDefault="00000000">
      <w:pPr>
        <w:spacing w:before="80" w:after="80" w:line="276" w:lineRule="auto"/>
        <w:ind w:left="360" w:hanging="360"/>
      </w:pPr>
      <w:r>
        <w:rPr>
          <w:b/>
          <w:bCs/>
        </w:rPr>
        <w:t xml:space="preserve">(a) </w:t>
      </w:r>
      <w:r>
        <w:t>Boilerplate Alternatives Analysis. The alternatives analysis references “Madera County Code” — the zoning code for Madera County, California. This language appears to have been carried over from a different application in a different jurisdiction, raising the question of whether a genuine, site-specific alternatives analysis was ever conducted for this Sandoval County location.</w:t>
      </w:r>
    </w:p>
    <w:p w14:paraId="77667E4C" w14:textId="77777777" w:rsidR="00726C6E" w:rsidRDefault="00000000">
      <w:pPr>
        <w:spacing w:before="80" w:after="80" w:line="276" w:lineRule="auto"/>
        <w:ind w:left="360" w:hanging="360"/>
      </w:pPr>
      <w:r>
        <w:rPr>
          <w:b/>
          <w:bCs/>
        </w:rPr>
        <w:t xml:space="preserve">(b) </w:t>
      </w:r>
      <w:r>
        <w:t>Abandoned Fire Station Site. The applicant’s original preferred site was the Sandoval County Fire Station at 463 NM-165. That site was abandoned because the applicant “was not able to finalize a lease agreement” — a commercial convenience problem, not a demonstration of technical infeasibility. Co-location on an existing public structure should have been fully exhausted before a new freestanding tower was proposed.</w:t>
      </w:r>
    </w:p>
    <w:p w14:paraId="32081030" w14:textId="77777777" w:rsidR="00726C6E" w:rsidRDefault="00000000">
      <w:pPr>
        <w:spacing w:before="80" w:after="80" w:line="276" w:lineRule="auto"/>
        <w:ind w:left="360" w:hanging="360"/>
      </w:pPr>
      <w:r>
        <w:rPr>
          <w:b/>
          <w:bCs/>
        </w:rPr>
        <w:lastRenderedPageBreak/>
        <w:t xml:space="preserve">(c) </w:t>
      </w:r>
      <w:r>
        <w:t>Property Owner Veto of Less-Visible Alternative. The applicant’s own records show that a second, potentially less-visible location on the same parcel was rejected with the notation that the property owner “did not approve” because it “disrupts views to the mountains (southward).” The property owner protected her own viewshed at the expense of hundreds of neighboring property owners. This is not a legitimate basis for site selection under a public-interest zoning standard.</w:t>
      </w:r>
    </w:p>
    <w:p w14:paraId="7A61CE89" w14:textId="77777777" w:rsidR="00726C6E" w:rsidRDefault="00000000">
      <w:pPr>
        <w:spacing w:before="80" w:after="80" w:line="276" w:lineRule="auto"/>
        <w:ind w:left="360" w:hanging="360"/>
      </w:pPr>
      <w:r>
        <w:rPr>
          <w:b/>
          <w:bCs/>
        </w:rPr>
        <w:t xml:space="preserve">(d) </w:t>
      </w:r>
      <w:r>
        <w:t>Incomplete Photo Simulations. The tower is engineered for three wireless carriers at centerline elevations of 50, 60, and 70 feet AGL, each with its own future concealment shroud. The applicant’s photo simulations depict only the initial single-carrier Verizon installation. The public and the Commission have not been shown what this tower will look like at full build-out.</w:t>
      </w:r>
    </w:p>
    <w:p w14:paraId="153D5A74" w14:textId="77777777" w:rsidR="00726C6E" w:rsidRDefault="00000000">
      <w:pPr>
        <w:spacing w:before="80" w:after="80" w:line="276" w:lineRule="auto"/>
        <w:ind w:left="360" w:hanging="360"/>
      </w:pPr>
      <w:r>
        <w:rPr>
          <w:b/>
          <w:bCs/>
        </w:rPr>
        <w:t xml:space="preserve">(e) </w:t>
      </w:r>
      <w:r>
        <w:t>Unresolved Setback Deficiency. The northwest setback is 46 feet 9 inches. The standard fall-zone setback for a 75-foot tower is 82.5 feet (110% of tower height). The application notes this requires a setback reduction, but no separate application for that relief appears in the record.</w:t>
      </w:r>
    </w:p>
    <w:p w14:paraId="6DC3D134" w14:textId="77777777" w:rsidR="00726C6E" w:rsidRDefault="00000000">
      <w:pPr>
        <w:spacing w:before="80" w:after="80" w:line="276" w:lineRule="auto"/>
        <w:ind w:left="360" w:hanging="360"/>
      </w:pPr>
      <w:r>
        <w:rPr>
          <w:b/>
          <w:bCs/>
        </w:rPr>
        <w:t xml:space="preserve">(f) </w:t>
      </w:r>
      <w:r>
        <w:t>Internal Dimensional Inconsistencies. The engineering drawings contain internal dimensional inconsistencies that have not been reconciled.</w:t>
      </w:r>
    </w:p>
    <w:p w14:paraId="0C3DB985" w14:textId="77777777" w:rsidR="00726C6E" w:rsidRDefault="00000000">
      <w:pPr>
        <w:pBdr>
          <w:bottom w:val="single" w:sz="1" w:space="4" w:color="999999"/>
        </w:pBdr>
        <w:spacing w:before="320" w:after="160" w:line="276" w:lineRule="auto"/>
        <w:jc w:val="center"/>
      </w:pPr>
      <w:r>
        <w:rPr>
          <w:b/>
          <w:bCs/>
        </w:rPr>
        <w:t>REQUEST</w:t>
      </w:r>
    </w:p>
    <w:p w14:paraId="3702E016" w14:textId="77777777" w:rsidR="00726C6E" w:rsidRDefault="00000000">
      <w:pPr>
        <w:spacing w:before="60" w:after="60" w:line="276" w:lineRule="auto"/>
      </w:pPr>
      <w:r>
        <w:t>For the foregoing reasons, I respectfully request that the Commission:</w:t>
      </w:r>
    </w:p>
    <w:p w14:paraId="045B6B63" w14:textId="77777777" w:rsidR="00726C6E" w:rsidRDefault="00000000">
      <w:pPr>
        <w:spacing w:before="120" w:after="60" w:line="276" w:lineRule="auto"/>
      </w:pPr>
      <w:r>
        <w:t>(1) DENY the Conditional Use Permit application as inconsistent with the adopted Placitas Area Plan, the Sandoval County Comprehensive Zoning Ordinance, and the Sandoval County Wireless Telecommunications Facilities Ordinance;</w:t>
      </w:r>
    </w:p>
    <w:p w14:paraId="42335BB4" w14:textId="77777777" w:rsidR="00726C6E" w:rsidRDefault="00000000">
      <w:pPr>
        <w:spacing w:before="120" w:after="60" w:line="276" w:lineRule="auto"/>
      </w:pPr>
      <w:r>
        <w:t>OR, in the alternative:</w:t>
      </w:r>
    </w:p>
    <w:p w14:paraId="4751DEB5" w14:textId="77777777" w:rsidR="00726C6E" w:rsidRDefault="00000000">
      <w:pPr>
        <w:spacing w:before="60" w:after="60" w:line="276" w:lineRule="auto"/>
      </w:pPr>
      <w:r>
        <w:t>(2) Find the application INCOMPLETE and require the applicant to submit: (a) a Sandoval County-specific alternatives analysis replacing the boilerplate Madera County document; (b) photo simulations depicting the full three-carrier build-out; (c) a formal setback reduction application for the northwest boundary; (d) corrected engineering drawings with reconciled dimensions; and (e) documentation demonstrating that the Fire Station site at 463 NM-165 was technically infeasible, not merely commercially inconvenient;</w:t>
      </w:r>
    </w:p>
    <w:p w14:paraId="2AD9A92F" w14:textId="77777777" w:rsidR="00726C6E" w:rsidRDefault="00000000">
      <w:pPr>
        <w:spacing w:before="120" w:after="60" w:line="276" w:lineRule="auto"/>
      </w:pPr>
      <w:r>
        <w:t>AND in any event:</w:t>
      </w:r>
    </w:p>
    <w:p w14:paraId="7B3C4B55" w14:textId="77777777" w:rsidR="00726C6E" w:rsidRDefault="00000000">
      <w:pPr>
        <w:spacing w:before="60" w:after="60" w:line="276" w:lineRule="auto"/>
      </w:pPr>
      <w:r>
        <w:t>(3) Require the applicant to demonstrate, with evidence and not conclusory statements, that adequate concealment is achievable for a 75-foot monopole in open high-desert terrain — given that the applicant’s own design conceals only 27% of the structure.</w:t>
      </w:r>
    </w:p>
    <w:p w14:paraId="53230539" w14:textId="77777777" w:rsidR="00726C6E" w:rsidRDefault="00726C6E">
      <w:pPr>
        <w:spacing w:before="60"/>
      </w:pPr>
    </w:p>
    <w:p w14:paraId="018C339A" w14:textId="77777777" w:rsidR="00726C6E" w:rsidRDefault="00000000">
      <w:pPr>
        <w:spacing w:before="60" w:after="60" w:line="276" w:lineRule="auto"/>
      </w:pPr>
      <w:r>
        <w:t>Thank you for including this formal opposition in its entirety in the written public record.</w:t>
      </w:r>
    </w:p>
    <w:p w14:paraId="7AA450E4" w14:textId="77777777" w:rsidR="00726C6E" w:rsidRDefault="00726C6E">
      <w:pPr>
        <w:spacing w:before="320"/>
      </w:pPr>
    </w:p>
    <w:p w14:paraId="0CC032A5" w14:textId="77777777" w:rsidR="00726C6E" w:rsidRDefault="00000000">
      <w:pPr>
        <w:spacing w:before="60" w:after="60" w:line="276" w:lineRule="auto"/>
      </w:pPr>
      <w:r>
        <w:t>Respectfully submitted,</w:t>
      </w:r>
    </w:p>
    <w:p w14:paraId="44638DAD" w14:textId="77777777" w:rsidR="00726C6E" w:rsidRDefault="00726C6E">
      <w:pPr>
        <w:spacing w:before="320"/>
      </w:pPr>
    </w:p>
    <w:p w14:paraId="3A3F065B" w14:textId="77777777" w:rsidR="00726C6E" w:rsidRDefault="00000000">
      <w:pPr>
        <w:spacing w:before="60" w:after="60" w:line="276" w:lineRule="auto"/>
      </w:pPr>
      <w:r>
        <w:t>[Your Full Name]</w:t>
      </w:r>
    </w:p>
    <w:p w14:paraId="1EE3A91A" w14:textId="77777777" w:rsidR="00726C6E" w:rsidRDefault="00000000">
      <w:pPr>
        <w:spacing w:before="60" w:after="60" w:line="276" w:lineRule="auto"/>
      </w:pPr>
      <w:r>
        <w:t>[Street Address]</w:t>
      </w:r>
    </w:p>
    <w:p w14:paraId="1EDB0E55" w14:textId="77777777" w:rsidR="00726C6E" w:rsidRDefault="00000000">
      <w:pPr>
        <w:spacing w:before="60" w:after="60" w:line="276" w:lineRule="auto"/>
      </w:pPr>
      <w:r>
        <w:t>Placitas, NM [ZIP]</w:t>
      </w:r>
    </w:p>
    <w:p w14:paraId="54C19C15" w14:textId="77777777" w:rsidR="00726C6E" w:rsidRDefault="00000000">
      <w:pPr>
        <w:spacing w:before="60" w:after="60" w:line="276" w:lineRule="auto"/>
      </w:pPr>
      <w:r>
        <w:t>[Phone Number]</w:t>
      </w:r>
    </w:p>
    <w:p w14:paraId="228DBD3A" w14:textId="77777777" w:rsidR="00726C6E" w:rsidRDefault="00000000">
      <w:pPr>
        <w:spacing w:before="60" w:after="60" w:line="276" w:lineRule="auto"/>
      </w:pPr>
      <w:r>
        <w:t>[Email Address]</w:t>
      </w:r>
    </w:p>
    <w:p w14:paraId="32A12D9E" w14:textId="77777777" w:rsidR="00726C6E" w:rsidRDefault="00000000">
      <w:pPr>
        <w:spacing w:before="60" w:after="60" w:line="276" w:lineRule="auto"/>
      </w:pPr>
      <w:r>
        <w:t>[Date Submitted]</w:t>
      </w:r>
    </w:p>
    <w:sectPr w:rsidR="00726C6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6BA"/>
    <w:multiLevelType w:val="hybridMultilevel"/>
    <w:tmpl w:val="ABB850A2"/>
    <w:lvl w:ilvl="0" w:tplc="E66417C8">
      <w:start w:val="1"/>
      <w:numFmt w:val="bullet"/>
      <w:lvlText w:val="●"/>
      <w:lvlJc w:val="left"/>
      <w:pPr>
        <w:ind w:left="720" w:hanging="360"/>
      </w:pPr>
    </w:lvl>
    <w:lvl w:ilvl="1" w:tplc="AC8AB4CC">
      <w:start w:val="1"/>
      <w:numFmt w:val="bullet"/>
      <w:lvlText w:val="○"/>
      <w:lvlJc w:val="left"/>
      <w:pPr>
        <w:ind w:left="1440" w:hanging="360"/>
      </w:pPr>
    </w:lvl>
    <w:lvl w:ilvl="2" w:tplc="7F042864">
      <w:start w:val="1"/>
      <w:numFmt w:val="bullet"/>
      <w:lvlText w:val="■"/>
      <w:lvlJc w:val="left"/>
      <w:pPr>
        <w:ind w:left="2160" w:hanging="360"/>
      </w:pPr>
    </w:lvl>
    <w:lvl w:ilvl="3" w:tplc="F9E680BC">
      <w:start w:val="1"/>
      <w:numFmt w:val="bullet"/>
      <w:lvlText w:val="●"/>
      <w:lvlJc w:val="left"/>
      <w:pPr>
        <w:ind w:left="2880" w:hanging="360"/>
      </w:pPr>
    </w:lvl>
    <w:lvl w:ilvl="4" w:tplc="09905620">
      <w:start w:val="1"/>
      <w:numFmt w:val="bullet"/>
      <w:lvlText w:val="○"/>
      <w:lvlJc w:val="left"/>
      <w:pPr>
        <w:ind w:left="3600" w:hanging="360"/>
      </w:pPr>
    </w:lvl>
    <w:lvl w:ilvl="5" w:tplc="94B2E76A">
      <w:start w:val="1"/>
      <w:numFmt w:val="bullet"/>
      <w:lvlText w:val="■"/>
      <w:lvlJc w:val="left"/>
      <w:pPr>
        <w:ind w:left="4320" w:hanging="360"/>
      </w:pPr>
    </w:lvl>
    <w:lvl w:ilvl="6" w:tplc="7568B1E2">
      <w:start w:val="1"/>
      <w:numFmt w:val="bullet"/>
      <w:lvlText w:val="●"/>
      <w:lvlJc w:val="left"/>
      <w:pPr>
        <w:ind w:left="5040" w:hanging="360"/>
      </w:pPr>
    </w:lvl>
    <w:lvl w:ilvl="7" w:tplc="D3C23232">
      <w:start w:val="1"/>
      <w:numFmt w:val="bullet"/>
      <w:lvlText w:val="●"/>
      <w:lvlJc w:val="left"/>
      <w:pPr>
        <w:ind w:left="5760" w:hanging="360"/>
      </w:pPr>
    </w:lvl>
    <w:lvl w:ilvl="8" w:tplc="28ACB4AE">
      <w:start w:val="1"/>
      <w:numFmt w:val="bullet"/>
      <w:lvlText w:val="●"/>
      <w:lvlJc w:val="left"/>
      <w:pPr>
        <w:ind w:left="6480" w:hanging="360"/>
      </w:pPr>
    </w:lvl>
  </w:abstractNum>
  <w:num w:numId="1" w16cid:durableId="1270168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6E"/>
    <w:rsid w:val="000123F7"/>
    <w:rsid w:val="0012430B"/>
    <w:rsid w:val="00726C6E"/>
    <w:rsid w:val="00C979B7"/>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A3CB"/>
  <w15:docId w15:val="{57A38F6F-AACC-4FED-9B17-C594DD6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8293</Characters>
  <Application>Microsoft Office Word</Application>
  <DocSecurity>0</DocSecurity>
  <Lines>69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Jeanine Seymour</cp:lastModifiedBy>
  <cp:revision>4</cp:revision>
  <dcterms:created xsi:type="dcterms:W3CDTF">2026-04-26T19:50:00Z</dcterms:created>
  <dcterms:modified xsi:type="dcterms:W3CDTF">2026-04-26T19:52:00Z</dcterms:modified>
</cp:coreProperties>
</file>